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2CC" w:themeColor="accent4" w:themeTint="33"/>
  <w:body>
    <w:p w14:paraId="5CB98224" w14:textId="3350AE08" w:rsidR="00A86559" w:rsidRPr="00AF768B" w:rsidRDefault="00A86559" w:rsidP="00A86559">
      <w:pPr>
        <w:shd w:val="clear" w:color="auto" w:fill="E7E6E6" w:themeFill="background2"/>
        <w:jc w:val="center"/>
        <w:rPr>
          <w:rFonts w:ascii="Britannic Bold" w:hAnsi="Britannic Bold" w:cs="Times New Roman"/>
          <w:sz w:val="28"/>
          <w:szCs w:val="28"/>
        </w:rPr>
      </w:pPr>
      <w:r w:rsidRPr="00AF768B">
        <w:rPr>
          <w:rFonts w:ascii="Britannic Bold" w:hAnsi="Britannic Bold" w:cs="Times New Roman"/>
          <w:sz w:val="28"/>
          <w:szCs w:val="28"/>
        </w:rPr>
        <w:t xml:space="preserve">Os </w:t>
      </w:r>
      <w:r w:rsidR="00CF4231" w:rsidRPr="00AF768B">
        <w:rPr>
          <w:rFonts w:ascii="Britannic Bold" w:hAnsi="Britannic Bold" w:cs="Times New Roman"/>
          <w:sz w:val="28"/>
          <w:szCs w:val="28"/>
        </w:rPr>
        <w:t xml:space="preserve">DENTES </w:t>
      </w:r>
      <w:r w:rsidR="003540BE" w:rsidRPr="00AF768B">
        <w:rPr>
          <w:rFonts w:ascii="Britannic Bold" w:hAnsi="Britannic Bold" w:cs="Times New Roman"/>
          <w:sz w:val="28"/>
          <w:szCs w:val="28"/>
        </w:rPr>
        <w:t>SOMBRIOS</w:t>
      </w:r>
      <w:r w:rsidRPr="00AF768B">
        <w:rPr>
          <w:rFonts w:ascii="Britannic Bold" w:hAnsi="Britannic Bold" w:cs="Times New Roman"/>
          <w:sz w:val="28"/>
          <w:szCs w:val="28"/>
        </w:rPr>
        <w:t xml:space="preserve"> da </w:t>
      </w:r>
      <w:r w:rsidR="003540BE" w:rsidRPr="00AF768B">
        <w:rPr>
          <w:rFonts w:ascii="Britannic Bold" w:hAnsi="Britannic Bold" w:cs="Times New Roman"/>
          <w:sz w:val="28"/>
          <w:szCs w:val="28"/>
        </w:rPr>
        <w:t>VITÓRIA</w:t>
      </w:r>
      <w:r w:rsidRPr="00AF768B">
        <w:rPr>
          <w:rFonts w:ascii="Britannic Bold" w:hAnsi="Britannic Bold" w:cs="Times New Roman"/>
          <w:sz w:val="28"/>
          <w:szCs w:val="28"/>
        </w:rPr>
        <w:t xml:space="preserve">! </w:t>
      </w:r>
    </w:p>
    <w:p w14:paraId="4E8B31C1" w14:textId="7B10FA05" w:rsidR="00A86559" w:rsidRPr="00AF768B" w:rsidRDefault="00A86559" w:rsidP="00A86559">
      <w:pPr>
        <w:shd w:val="clear" w:color="auto" w:fill="E7E6E6" w:themeFill="background2"/>
        <w:jc w:val="center"/>
        <w:rPr>
          <w:rFonts w:ascii="Britannic Bold" w:hAnsi="Britannic Bold" w:cs="Times New Roman"/>
        </w:rPr>
      </w:pPr>
      <w:r w:rsidRPr="00AF768B">
        <w:rPr>
          <w:rFonts w:ascii="Britannic Bold" w:hAnsi="Britannic Bold" w:cs="Times New Roman"/>
        </w:rPr>
        <w:t>Uma Crônica de Guerra, Luxo e Contágio.</w:t>
      </w:r>
    </w:p>
    <w:p w14:paraId="6A90195A" w14:textId="77777777" w:rsidR="003540BE" w:rsidRDefault="003540BE" w:rsidP="00A86559">
      <w:pPr>
        <w:ind w:firstLine="708"/>
        <w:jc w:val="both"/>
        <w:rPr>
          <w:rFonts w:ascii="DomBold BT" w:hAnsi="DomBold BT" w:cs="Times New Roman"/>
          <w:sz w:val="22"/>
          <w:szCs w:val="22"/>
        </w:rPr>
      </w:pPr>
    </w:p>
    <w:p w14:paraId="35297041" w14:textId="77777777" w:rsidR="003540BE" w:rsidRDefault="003540BE" w:rsidP="00A86559">
      <w:pPr>
        <w:ind w:firstLine="708"/>
        <w:jc w:val="both"/>
        <w:rPr>
          <w:rFonts w:ascii="DomBold BT" w:hAnsi="DomBold BT" w:cs="Times New Roman"/>
          <w:sz w:val="22"/>
          <w:szCs w:val="22"/>
        </w:rPr>
        <w:sectPr w:rsidR="003540BE" w:rsidSect="003540BE">
          <w:pgSz w:w="11906" w:h="16838"/>
          <w:pgMar w:top="1417" w:right="1701" w:bottom="1417" w:left="1701" w:header="708" w:footer="708" w:gutter="0"/>
          <w:pgBorders w:offsetFrom="page">
            <w:top w:val="single" w:sz="4" w:space="24" w:color="auto" w:shadow="1"/>
            <w:left w:val="single" w:sz="4" w:space="24" w:color="auto" w:shadow="1"/>
            <w:bottom w:val="single" w:sz="4" w:space="24" w:color="auto" w:shadow="1"/>
            <w:right w:val="single" w:sz="4" w:space="24" w:color="auto" w:shadow="1"/>
          </w:pgBorders>
          <w:cols w:space="708"/>
          <w:docGrid w:linePitch="360"/>
        </w:sectPr>
      </w:pPr>
    </w:p>
    <w:p w14:paraId="31995C87" w14:textId="51C0BFEF" w:rsidR="00A86559" w:rsidRPr="00AF768B" w:rsidRDefault="003540BE" w:rsidP="00AF768B">
      <w:pPr>
        <w:ind w:firstLine="708"/>
        <w:rPr>
          <w:rFonts w:ascii="DomBold BT" w:hAnsi="DomBold BT" w:cs="Times New Roman"/>
        </w:rPr>
      </w:pPr>
      <w:r w:rsidRPr="00AF768B">
        <w:rPr>
          <w:rFonts w:ascii="DomBold BT" w:hAnsi="DomBold BT" w:cs="Times New Roman"/>
        </w:rPr>
        <w:t xml:space="preserve">NO CREPÚSCULO SANGRENTO DE WATERLOO, EM 1815, ONDE 50 MIL ALMAS TOMBARAM SOB O TROVEJAR DOS CANHÕES, NÃO FORAM APENAS IMPÉRIOS QUE SE ERGUERAM DAS CINZAS. DOS CORPOS JOVENS E ROBUSTOS DOS SOLDADOS — FRANCESES, BRITÂNICOS, PRUSSIANOS — EMERGIU UM COMÉRCIO MACABRO: OS "DENTES DE WATERLOO". SAQUEADORES, COM PINÇAS ENFERRUJADAS, ARRANCAVAM INCISIVOS E MOLARES AINDA QUENTES, VENDENDO-OS POR GUINÉUS EM LONDRES E PARIS. PARA A ELITE VITORIANA, ESSES DENTES HUMANOS ERAM O AUGE DA ODONTOLOGIA PRIMITIVA: REALISTAS, DURÁVEIS, MONTADOS EM BASES DE MARFIM DE HIPOPÓTAMO. UM SORRISO "DE HERÓI" </w:t>
      </w:r>
      <w:r w:rsidRPr="00AF768B">
        <w:rPr>
          <w:rFonts w:ascii="DomBold BT" w:hAnsi="DomBold BT" w:cs="Times New Roman"/>
        </w:rPr>
        <w:t>ERA UM TROFÉU, UM LUXO QUE DISFARÇAVA A PODRIDÃO DO AÇÚCAR EXCESSIVO NAS MESAS DOS RICOS. MAS O QUE SE OCULTAVA POR TRÁS DAQUELES BRANCOS PERFEITOS? A SÍFILIS, A "GRANDE IMITADORA", ESPREITAVA NOS TECIDOS INFECTADOS DOS CAÍDOS. SOLDADOS, MUITAS VEZES PORTADORES DA DOENÇA VENÉREA — COMUM EM ACAMPAMENTOS LOTADOS DE MISÉRIA E PROMISCUIDADE —, LEGAVAM NÃO SÓ SEUS DENTES, MAS TAMBÉM O *TREPONEMA PALLIDUM*, QUE SOBREVIVIA À ESTERILIZAÇÃO PRECÁRIA E SE INFILTRAVA NOS NOVOS DONOS, CAUSANDO ÚLCERAS, RUSH E, POR FIM, A LOUCURA NEUROSSIFILÍTICA.</w:t>
      </w:r>
    </w:p>
    <w:p w14:paraId="11C4504C" w14:textId="77777777" w:rsidR="003540BE" w:rsidRDefault="003540BE" w:rsidP="00A86559">
      <w:pPr>
        <w:ind w:firstLine="708"/>
        <w:jc w:val="both"/>
        <w:rPr>
          <w:rFonts w:ascii="DomBold BT" w:hAnsi="DomBold BT" w:cs="Times New Roman"/>
          <w:sz w:val="22"/>
          <w:szCs w:val="22"/>
        </w:rPr>
        <w:sectPr w:rsidR="003540BE" w:rsidSect="003540BE">
          <w:type w:val="continuous"/>
          <w:pgSz w:w="11906" w:h="16838"/>
          <w:pgMar w:top="1417" w:right="1701" w:bottom="1417" w:left="1701" w:header="708" w:footer="708" w:gutter="0"/>
          <w:pgBorders w:offsetFrom="page">
            <w:top w:val="single" w:sz="4" w:space="24" w:color="auto" w:shadow="1"/>
            <w:left w:val="single" w:sz="4" w:space="24" w:color="auto" w:shadow="1"/>
            <w:bottom w:val="single" w:sz="4" w:space="24" w:color="auto" w:shadow="1"/>
            <w:right w:val="single" w:sz="4" w:space="24" w:color="auto" w:shadow="1"/>
          </w:pgBorders>
          <w:cols w:num="2" w:space="708"/>
          <w:docGrid w:linePitch="360"/>
        </w:sectPr>
      </w:pPr>
    </w:p>
    <w:p w14:paraId="36061AC0" w14:textId="77777777" w:rsidR="003540BE" w:rsidRPr="003540BE" w:rsidRDefault="003540BE" w:rsidP="00A86559">
      <w:pPr>
        <w:ind w:firstLine="708"/>
        <w:jc w:val="both"/>
        <w:rPr>
          <w:rFonts w:ascii="DomBold BT" w:hAnsi="DomBold BT" w:cs="Times New Roman"/>
          <w:sz w:val="22"/>
          <w:szCs w:val="22"/>
        </w:rPr>
      </w:pPr>
    </w:p>
    <w:p w14:paraId="637F66F4" w14:textId="660AB444" w:rsidR="00A86559" w:rsidRPr="00AF768B" w:rsidRDefault="003540BE" w:rsidP="0005478D">
      <w:pPr>
        <w:shd w:val="clear" w:color="auto" w:fill="E7E6E6" w:themeFill="background2"/>
        <w:jc w:val="both"/>
        <w:rPr>
          <w:rFonts w:ascii="Britannic Bold" w:hAnsi="Britannic Bold" w:cs="Times New Roman"/>
        </w:rPr>
      </w:pPr>
      <w:r w:rsidRPr="00AF768B">
        <w:rPr>
          <w:rFonts w:ascii="Britannic Bold" w:hAnsi="Britannic Bold" w:cs="Times New Roman"/>
        </w:rPr>
        <w:tab/>
        <w:t>DENTADURAS de SEBASTOPOL.</w:t>
      </w:r>
    </w:p>
    <w:p w14:paraId="33492F8E" w14:textId="77777777" w:rsidR="003540BE" w:rsidRPr="00AF768B" w:rsidRDefault="003540BE" w:rsidP="00A86559">
      <w:pPr>
        <w:ind w:firstLine="708"/>
        <w:jc w:val="both"/>
        <w:rPr>
          <w:rFonts w:ascii="DomBold BT" w:hAnsi="DomBold BT" w:cs="Times New Roman"/>
        </w:rPr>
        <w:sectPr w:rsidR="003540BE" w:rsidRPr="00AF768B" w:rsidSect="003540BE">
          <w:type w:val="continuous"/>
          <w:pgSz w:w="11906" w:h="16838"/>
          <w:pgMar w:top="1417" w:right="1701" w:bottom="1417" w:left="1701" w:header="708" w:footer="708" w:gutter="0"/>
          <w:pgBorders w:offsetFrom="page">
            <w:top w:val="single" w:sz="4" w:space="24" w:color="auto" w:shadow="1"/>
            <w:left w:val="single" w:sz="4" w:space="24" w:color="auto" w:shadow="1"/>
            <w:bottom w:val="single" w:sz="4" w:space="24" w:color="auto" w:shadow="1"/>
            <w:right w:val="single" w:sz="4" w:space="24" w:color="auto" w:shadow="1"/>
          </w:pgBorders>
          <w:cols w:space="708"/>
          <w:docGrid w:linePitch="360"/>
        </w:sectPr>
      </w:pPr>
    </w:p>
    <w:p w14:paraId="299D9C86" w14:textId="768C2C4E" w:rsidR="00A86559" w:rsidRPr="00AF768B" w:rsidRDefault="003540BE" w:rsidP="00AF768B">
      <w:pPr>
        <w:ind w:firstLine="708"/>
        <w:rPr>
          <w:rFonts w:ascii="DomBold BT" w:hAnsi="DomBold BT" w:cs="Times New Roman"/>
        </w:rPr>
      </w:pPr>
      <w:r w:rsidRPr="00AF768B">
        <w:rPr>
          <w:rFonts w:ascii="DomBold BT" w:hAnsi="DomBold BT" w:cs="Times New Roman"/>
        </w:rPr>
        <w:t xml:space="preserve">A PRÁTICA SE ESPALHOU COMO PÓLVORA. NO CERCO DE SEBASTOPOL, DURANTE A GUERRA DA CRIMEIA (1853-1856), OS CAMPOS GELADOS DA PENÍNSULA UCRANIANA VIRARAM MINAS DE OURO DENTÁRIO. ALI, ENTRE TRINCHEIRAS ENLAMEADAS E EPIDEMIAS DE CÓLERA, OS "DENTADURAS DE SEBASTOPOL" FORAM COLHIDAS DE RUSSOS E ALIADOS TOMBADOS. RELATOS SUSSURRADOS EM TAVERNAS LONDRINAS FALAVAM DE DENTES "FRESCOS" IMPORTADOS, MAS CARREGADOS DE CONTÁGIO. POBRES DOADORES VIVOS, NAS </w:t>
      </w:r>
      <w:r w:rsidRPr="00AF768B">
        <w:rPr>
          <w:rFonts w:ascii="DomBold BT" w:hAnsi="DomBold BT" w:cs="Times New Roman"/>
        </w:rPr>
        <w:t>RUAS DE DICKENS, VENDIAM SEUS PRÓPRIOS MOLARES POR UM PEDAÇO DE PÃO — EXTRAÍDOS SEM ANESTESIA, DEIXANDO ROSTOS DESFIGURADOS. ESSES "VENDEDORES DE SORRISOS" FREQUENTEMENTE CARREGAVAM SÍFILIS, TRANSMITINDO-A AOS COMPRADORES ABASTADOS QUE, IRONICAMENTE, BUSCAVAM BELEZA ETERNA. UM DENTISTA PARISIENSE, EM 1850, REGISTROU CASOS DE PACIENTES QUE, MESES APÓS O IMPLANTE, DESENVOLVIAM CANCROS ORAIS, ATRIBUÍDOS AOS DENTES "AMALDIÇOADOS" DE SEBASTOPOL.</w:t>
      </w:r>
    </w:p>
    <w:p w14:paraId="19B21A0E" w14:textId="77777777" w:rsidR="003540BE" w:rsidRPr="00AF768B" w:rsidRDefault="003540BE" w:rsidP="00AF768B">
      <w:pPr>
        <w:ind w:firstLine="708"/>
        <w:rPr>
          <w:rFonts w:ascii="DomBold BT" w:hAnsi="DomBold BT" w:cs="Times New Roman"/>
        </w:rPr>
        <w:sectPr w:rsidR="003540BE" w:rsidRPr="00AF768B" w:rsidSect="003540BE">
          <w:type w:val="continuous"/>
          <w:pgSz w:w="11906" w:h="16838"/>
          <w:pgMar w:top="1417" w:right="1701" w:bottom="1417" w:left="1701" w:header="708" w:footer="708" w:gutter="0"/>
          <w:pgBorders w:offsetFrom="page">
            <w:top w:val="single" w:sz="4" w:space="24" w:color="auto" w:shadow="1"/>
            <w:left w:val="single" w:sz="4" w:space="24" w:color="auto" w:shadow="1"/>
            <w:bottom w:val="single" w:sz="4" w:space="24" w:color="auto" w:shadow="1"/>
            <w:right w:val="single" w:sz="4" w:space="24" w:color="auto" w:shadow="1"/>
          </w:pgBorders>
          <w:cols w:num="2" w:space="708"/>
          <w:docGrid w:linePitch="360"/>
        </w:sectPr>
      </w:pPr>
    </w:p>
    <w:p w14:paraId="78882325" w14:textId="77777777" w:rsidR="003540BE" w:rsidRPr="003540BE" w:rsidRDefault="003540BE" w:rsidP="00A86559">
      <w:pPr>
        <w:ind w:firstLine="708"/>
        <w:jc w:val="both"/>
        <w:rPr>
          <w:rFonts w:ascii="DomBold BT" w:hAnsi="DomBold BT" w:cs="Times New Roman"/>
          <w:sz w:val="22"/>
          <w:szCs w:val="22"/>
        </w:rPr>
      </w:pPr>
    </w:p>
    <w:p w14:paraId="1E8A7A27" w14:textId="4C7599D2" w:rsidR="00A86559" w:rsidRPr="00AF768B" w:rsidRDefault="003540BE" w:rsidP="0005478D">
      <w:pPr>
        <w:shd w:val="clear" w:color="auto" w:fill="E7E6E6" w:themeFill="background2"/>
        <w:jc w:val="both"/>
        <w:rPr>
          <w:rFonts w:ascii="Britannic Bold" w:hAnsi="Britannic Bold" w:cs="Times New Roman"/>
        </w:rPr>
      </w:pPr>
      <w:r w:rsidRPr="00AF768B">
        <w:rPr>
          <w:rFonts w:ascii="Britannic Bold" w:hAnsi="Britannic Bold" w:cs="Times New Roman"/>
        </w:rPr>
        <w:lastRenderedPageBreak/>
        <w:tab/>
        <w:t>DENTADURAS da GUERRA CIVIL AMERICANA.</w:t>
      </w:r>
    </w:p>
    <w:p w14:paraId="609E38CA" w14:textId="77777777" w:rsidR="003540BE" w:rsidRPr="00AF768B" w:rsidRDefault="003540BE" w:rsidP="00A86559">
      <w:pPr>
        <w:ind w:firstLine="708"/>
        <w:jc w:val="both"/>
        <w:rPr>
          <w:rFonts w:ascii="DomBold BT" w:hAnsi="DomBold BT" w:cs="Times New Roman"/>
        </w:rPr>
        <w:sectPr w:rsidR="003540BE" w:rsidRPr="00AF768B" w:rsidSect="003540BE">
          <w:type w:val="continuous"/>
          <w:pgSz w:w="11906" w:h="16838"/>
          <w:pgMar w:top="1417" w:right="1701" w:bottom="1417" w:left="1701" w:header="708" w:footer="708" w:gutter="0"/>
          <w:pgBorders w:offsetFrom="page">
            <w:top w:val="single" w:sz="4" w:space="24" w:color="auto" w:shadow="1"/>
            <w:left w:val="single" w:sz="4" w:space="24" w:color="auto" w:shadow="1"/>
            <w:bottom w:val="single" w:sz="4" w:space="24" w:color="auto" w:shadow="1"/>
            <w:right w:val="single" w:sz="4" w:space="24" w:color="auto" w:shadow="1"/>
          </w:pgBorders>
          <w:cols w:space="708"/>
          <w:docGrid w:linePitch="360"/>
        </w:sectPr>
      </w:pPr>
    </w:p>
    <w:p w14:paraId="417CE9DB" w14:textId="27F55CA7" w:rsidR="00A86559" w:rsidRPr="00AF768B" w:rsidRDefault="003540BE" w:rsidP="003540BE">
      <w:pPr>
        <w:ind w:firstLine="708"/>
        <w:rPr>
          <w:rFonts w:ascii="DomBold BT" w:hAnsi="DomBold BT" w:cs="Times New Roman"/>
        </w:rPr>
      </w:pPr>
      <w:r w:rsidRPr="00AF768B">
        <w:rPr>
          <w:rFonts w:ascii="DomBold BT" w:hAnsi="DomBold BT" w:cs="Times New Roman"/>
        </w:rPr>
        <w:t xml:space="preserve">DO OUTRO LADO DO ATLÂNTICO, NA GUERRA CIVIL AMERICANA (1861-1865), O HORROR SE REPETIU. CAMPOS COMO GETTYSBURG E ANTIETAM, COM SEUS 620 MIL MORTOS, ABASTECERAM O MERCADO NEGRO. DENTES DE CONFEDERADOS E UNIONISTAS — JOVENS FAZENDEIROS E OPERÁRIOS, MUITOS INFECTADOS POR SÍFILIS EM BORDÉIS DE CAMPANHA — FORAM ARRANCADOS POR COVEIROS OPORTUNISTAS. “DENTADURAS DE GETTYSBURG" ADORNAVAM BOCAS DE </w:t>
      </w:r>
      <w:r w:rsidRPr="00AF768B">
        <w:rPr>
          <w:rFonts w:ascii="DomBold BT" w:hAnsi="DomBold BT" w:cs="Times New Roman"/>
        </w:rPr>
        <w:t>NOVA-IORQUINOS RICOS, MAS O PREÇO ERA ALTO: INFECÇÕES CRUZADAS, ONDE LESÕES CONFUNDIDAS COM VARÍOLA ESPALHAVAM A PRAGA VENÉREA. UM CIRURGIÃO DA UNIÃO RELATOU SOLDADOS  SE AUTOVACINANDO COM PUS DE COLEGAS, INADVERTIDAMENTE PROPAGANDO SÍFILIS, ECOANDO O RISCO NOS DENTES PILHADOS. A ELITE, CEGA PELA VAIDADE, TRATAVA RESTOS MORTAIS COMO COMMODITIES, IGNORANDO A ÉTICA QUE VIA CORPOS COMO SAGRADOS.</w:t>
      </w:r>
    </w:p>
    <w:p w14:paraId="30F595F2" w14:textId="77777777" w:rsidR="003540BE" w:rsidRDefault="003540BE" w:rsidP="00A86559">
      <w:pPr>
        <w:ind w:firstLine="708"/>
        <w:jc w:val="both"/>
        <w:rPr>
          <w:rFonts w:ascii="DomBold BT" w:hAnsi="DomBold BT" w:cs="Times New Roman"/>
          <w:sz w:val="22"/>
          <w:szCs w:val="22"/>
        </w:rPr>
        <w:sectPr w:rsidR="003540BE" w:rsidSect="003540BE">
          <w:type w:val="continuous"/>
          <w:pgSz w:w="11906" w:h="16838"/>
          <w:pgMar w:top="1417" w:right="1701" w:bottom="1417" w:left="1701" w:header="708" w:footer="708" w:gutter="0"/>
          <w:pgBorders w:offsetFrom="page">
            <w:top w:val="single" w:sz="4" w:space="24" w:color="auto" w:shadow="1"/>
            <w:left w:val="single" w:sz="4" w:space="24" w:color="auto" w:shadow="1"/>
            <w:bottom w:val="single" w:sz="4" w:space="24" w:color="auto" w:shadow="1"/>
            <w:right w:val="single" w:sz="4" w:space="24" w:color="auto" w:shadow="1"/>
          </w:pgBorders>
          <w:cols w:num="2" w:space="708"/>
          <w:docGrid w:linePitch="360"/>
        </w:sectPr>
      </w:pPr>
    </w:p>
    <w:p w14:paraId="7338C5F2" w14:textId="77777777" w:rsidR="003540BE" w:rsidRPr="003540BE" w:rsidRDefault="003540BE" w:rsidP="00A86559">
      <w:pPr>
        <w:ind w:firstLine="708"/>
        <w:jc w:val="both"/>
        <w:rPr>
          <w:rFonts w:ascii="DomBold BT" w:hAnsi="DomBold BT" w:cs="Times New Roman"/>
          <w:sz w:val="22"/>
          <w:szCs w:val="22"/>
        </w:rPr>
      </w:pPr>
    </w:p>
    <w:p w14:paraId="70245F88" w14:textId="4859BC88" w:rsidR="00A86559" w:rsidRPr="00AF768B" w:rsidRDefault="003540BE" w:rsidP="0005478D">
      <w:pPr>
        <w:shd w:val="clear" w:color="auto" w:fill="E7E6E6" w:themeFill="background2"/>
        <w:jc w:val="both"/>
        <w:rPr>
          <w:rFonts w:ascii="Britannic Bold" w:hAnsi="Britannic Bold" w:cs="Times New Roman"/>
        </w:rPr>
      </w:pPr>
      <w:r w:rsidRPr="00AF768B">
        <w:rPr>
          <w:rFonts w:ascii="Britannic Bold" w:hAnsi="Britannic Bold" w:cs="Times New Roman"/>
        </w:rPr>
        <w:tab/>
        <w:t>DENTADURAS de WATERLOO – A MÁCULA ETERNA.</w:t>
      </w:r>
    </w:p>
    <w:p w14:paraId="5886225B" w14:textId="77777777" w:rsidR="003540BE" w:rsidRPr="00AF768B" w:rsidRDefault="003540BE" w:rsidP="00A86559">
      <w:pPr>
        <w:ind w:left="708" w:firstLine="708"/>
        <w:jc w:val="both"/>
        <w:rPr>
          <w:rFonts w:ascii="DomBold BT" w:hAnsi="DomBold BT" w:cs="Times New Roman"/>
          <w:i/>
          <w:iCs/>
        </w:rPr>
        <w:sectPr w:rsidR="003540BE" w:rsidRPr="00AF768B" w:rsidSect="003540BE">
          <w:type w:val="continuous"/>
          <w:pgSz w:w="11906" w:h="16838"/>
          <w:pgMar w:top="1417" w:right="1701" w:bottom="1417" w:left="1701" w:header="708" w:footer="708" w:gutter="0"/>
          <w:pgBorders w:offsetFrom="page">
            <w:top w:val="single" w:sz="4" w:space="24" w:color="auto" w:shadow="1"/>
            <w:left w:val="single" w:sz="4" w:space="24" w:color="auto" w:shadow="1"/>
            <w:bottom w:val="single" w:sz="4" w:space="24" w:color="auto" w:shadow="1"/>
            <w:right w:val="single" w:sz="4" w:space="24" w:color="auto" w:shadow="1"/>
          </w:pgBorders>
          <w:cols w:space="708"/>
          <w:docGrid w:linePitch="360"/>
        </w:sectPr>
      </w:pPr>
    </w:p>
    <w:p w14:paraId="112CE56D" w14:textId="51BD6804" w:rsidR="00A86559" w:rsidRPr="00AF768B" w:rsidRDefault="003540BE" w:rsidP="003540BE">
      <w:pPr>
        <w:ind w:left="708" w:firstLine="708"/>
        <w:rPr>
          <w:rFonts w:ascii="DomBold BT" w:hAnsi="DomBold BT" w:cs="Times New Roman"/>
          <w:i/>
          <w:iCs/>
        </w:rPr>
      </w:pPr>
      <w:r w:rsidRPr="00AF768B">
        <w:rPr>
          <w:rFonts w:ascii="DomBold BT" w:hAnsi="DomBold BT" w:cs="Times New Roman"/>
          <w:i/>
          <w:iCs/>
        </w:rPr>
        <w:t xml:space="preserve">O DECLÍNIO VEIO NO FINAL DO SÉCULO, COM PORCELANAS APRIMORADAS E A AURORA DA ASSEPSIA. MAS A LIÇÃO PERDURA: NA BUSCA POR PERFEIÇÃO, A HUMANIDADE DEVOROU SEUS PRÓPRIOS FANTASMAS, </w:t>
      </w:r>
      <w:r w:rsidRPr="00AF768B">
        <w:rPr>
          <w:rFonts w:ascii="DomBold BT" w:hAnsi="DomBold BT" w:cs="Times New Roman"/>
          <w:i/>
          <w:iCs/>
        </w:rPr>
        <w:t>TRANSFORMANDO VITÓRIAS EM VENENOS. OS DENTES DE WATERLOO, SEBASTOPOL E DA GUERRA CIVIL NÃO ERAM APENAS PRÓTESES — ERAM CÁPSULAS DE CONTÁGIO, SORRISOS QUE MORDIAM DE VOLTA.</w:t>
      </w:r>
    </w:p>
    <w:p w14:paraId="2CE0D4CD" w14:textId="77777777" w:rsidR="003540BE" w:rsidRDefault="003540BE" w:rsidP="00A86559">
      <w:pPr>
        <w:ind w:left="708" w:firstLine="708"/>
        <w:jc w:val="both"/>
        <w:rPr>
          <w:rFonts w:ascii="Times New Roman" w:hAnsi="Times New Roman" w:cs="Times New Roman"/>
          <w:sz w:val="22"/>
          <w:szCs w:val="22"/>
        </w:rPr>
        <w:sectPr w:rsidR="003540BE" w:rsidSect="003540BE">
          <w:type w:val="continuous"/>
          <w:pgSz w:w="11906" w:h="16838"/>
          <w:pgMar w:top="1417" w:right="1701" w:bottom="1417" w:left="1701" w:header="708" w:footer="708" w:gutter="0"/>
          <w:pgBorders w:offsetFrom="page">
            <w:top w:val="single" w:sz="4" w:space="24" w:color="auto" w:shadow="1"/>
            <w:left w:val="single" w:sz="4" w:space="24" w:color="auto" w:shadow="1"/>
            <w:bottom w:val="single" w:sz="4" w:space="24" w:color="auto" w:shadow="1"/>
            <w:right w:val="single" w:sz="4" w:space="24" w:color="auto" w:shadow="1"/>
          </w:pgBorders>
          <w:cols w:num="2" w:space="708"/>
          <w:docGrid w:linePitch="360"/>
        </w:sectPr>
      </w:pPr>
    </w:p>
    <w:p w14:paraId="44E7DA34" w14:textId="77777777" w:rsidR="00955988" w:rsidRPr="00A86559" w:rsidRDefault="00955988" w:rsidP="00A86559">
      <w:pPr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</w:p>
    <w:p w14:paraId="1538955A" w14:textId="5FC3F493" w:rsidR="00A86559" w:rsidRPr="00A86559" w:rsidRDefault="00A86559" w:rsidP="00A86559">
      <w:pPr>
        <w:shd w:val="clear" w:color="auto" w:fill="E7E6E6" w:themeFill="background2"/>
        <w:jc w:val="right"/>
        <w:rPr>
          <w:rFonts w:ascii="Britannic Bold" w:hAnsi="Britannic Bold" w:cs="Times New Roman"/>
        </w:rPr>
      </w:pPr>
      <w:r>
        <w:rPr>
          <w:rFonts w:ascii="Britannic Bold" w:hAnsi="Britannic Bold"/>
          <w:sz w:val="20"/>
          <w:szCs w:val="20"/>
        </w:rPr>
        <w:t xml:space="preserve">2026.02.02 - </w:t>
      </w:r>
      <w:r w:rsidRPr="00A86559">
        <w:rPr>
          <w:rFonts w:ascii="Britannic Bold" w:hAnsi="Britannic Bold" w:cs="Times New Roman"/>
          <w:sz w:val="20"/>
          <w:szCs w:val="20"/>
        </w:rPr>
        <w:t>Os Dentes Sombrios da Vitória</w:t>
      </w:r>
    </w:p>
    <w:p w14:paraId="65642005" w14:textId="6DEF788D" w:rsidR="00A86559" w:rsidRDefault="00A86559" w:rsidP="00A86559">
      <w:pPr>
        <w:pStyle w:val="SemEspaamento"/>
        <w:shd w:val="clear" w:color="auto" w:fill="E7E6E6" w:themeFill="background2"/>
        <w:jc w:val="right"/>
        <w:rPr>
          <w:rFonts w:ascii="Britannic Bold" w:hAnsi="Britannic Bold"/>
          <w:sz w:val="20"/>
          <w:szCs w:val="20"/>
        </w:rPr>
      </w:pPr>
      <w:r>
        <w:rPr>
          <w:rFonts w:ascii="Britannic Bold" w:hAnsi="Britannic Bold"/>
          <w:sz w:val="20"/>
          <w:szCs w:val="20"/>
        </w:rPr>
        <w:t>Uma Crônica de Guerra, Luxo e Contágio</w:t>
      </w:r>
    </w:p>
    <w:p w14:paraId="5B1CA7FE" w14:textId="58FFD390" w:rsidR="00A86559" w:rsidRDefault="00A86559" w:rsidP="00A86559">
      <w:pPr>
        <w:pStyle w:val="SemEspaamento"/>
        <w:shd w:val="clear" w:color="auto" w:fill="E7E6E6" w:themeFill="background2"/>
        <w:jc w:val="right"/>
        <w:rPr>
          <w:rFonts w:ascii="Britannic Bold" w:hAnsi="Britannic Bold"/>
          <w:sz w:val="20"/>
          <w:szCs w:val="20"/>
        </w:rPr>
      </w:pPr>
      <w:r>
        <w:rPr>
          <w:rFonts w:ascii="Britannic Bold" w:hAnsi="Britannic Bold"/>
          <w:sz w:val="20"/>
          <w:szCs w:val="20"/>
        </w:rPr>
        <w:t>Edson Olimpio – Crônicas &amp; Agudas</w:t>
      </w:r>
    </w:p>
    <w:p w14:paraId="0FEE838C" w14:textId="0F82737B" w:rsidR="0005478D" w:rsidRPr="00A86559" w:rsidRDefault="0005478D" w:rsidP="00A86559">
      <w:pPr>
        <w:pStyle w:val="SemEspaamento"/>
        <w:shd w:val="clear" w:color="auto" w:fill="E7E6E6" w:themeFill="background2"/>
        <w:jc w:val="right"/>
        <w:rPr>
          <w:rFonts w:ascii="Britannic Bold" w:hAnsi="Britannic Bold"/>
          <w:sz w:val="20"/>
          <w:szCs w:val="20"/>
        </w:rPr>
      </w:pPr>
      <w:r>
        <w:rPr>
          <w:rFonts w:ascii="Britannic Bold" w:hAnsi="Britannic Bold"/>
          <w:sz w:val="20"/>
          <w:szCs w:val="20"/>
        </w:rPr>
        <w:t>História da Medicina</w:t>
      </w:r>
    </w:p>
    <w:p w14:paraId="5FA15ECF" w14:textId="47352AAC" w:rsidR="00A86559" w:rsidRDefault="00AF768B" w:rsidP="00A86559">
      <w:pPr>
        <w:pStyle w:val="SemEspaamento"/>
        <w:rPr>
          <w:rFonts w:ascii="Britannic Bold" w:hAnsi="Britannic Bold"/>
          <w:sz w:val="20"/>
          <w:szCs w:val="20"/>
        </w:rPr>
      </w:pPr>
      <w:r>
        <w:rPr>
          <w:rFonts w:ascii="Britannic Bold" w:hAnsi="Britannic Bold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1E4F59FA" wp14:editId="5DB2F534">
            <wp:simplePos x="0" y="0"/>
            <wp:positionH relativeFrom="margin">
              <wp:posOffset>982345</wp:posOffset>
            </wp:positionH>
            <wp:positionV relativeFrom="margin">
              <wp:posOffset>6187440</wp:posOffset>
            </wp:positionV>
            <wp:extent cx="2706370" cy="2706370"/>
            <wp:effectExtent l="0" t="0" r="0" b="0"/>
            <wp:wrapSquare wrapText="bothSides"/>
            <wp:docPr id="168746408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7464086" name="Imagem 168746408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370" cy="2706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893A4F" w14:textId="77777777" w:rsidR="003540BE" w:rsidRDefault="003540BE" w:rsidP="00A86559">
      <w:pPr>
        <w:pStyle w:val="SemEspaamento"/>
        <w:rPr>
          <w:rFonts w:ascii="Britannic Bold" w:hAnsi="Britannic Bold"/>
          <w:sz w:val="20"/>
          <w:szCs w:val="20"/>
        </w:rPr>
      </w:pPr>
    </w:p>
    <w:p w14:paraId="61CA2550" w14:textId="77777777" w:rsidR="003540BE" w:rsidRDefault="003540BE" w:rsidP="00A86559">
      <w:pPr>
        <w:pStyle w:val="SemEspaamento"/>
        <w:rPr>
          <w:rFonts w:ascii="Britannic Bold" w:hAnsi="Britannic Bold"/>
          <w:sz w:val="20"/>
          <w:szCs w:val="20"/>
        </w:rPr>
      </w:pPr>
    </w:p>
    <w:p w14:paraId="4628F640" w14:textId="7A631BF9" w:rsidR="003540BE" w:rsidRPr="00A86559" w:rsidRDefault="003540BE" w:rsidP="00A86559">
      <w:pPr>
        <w:pStyle w:val="SemEspaamento"/>
        <w:rPr>
          <w:rFonts w:ascii="Britannic Bold" w:hAnsi="Britannic Bold"/>
          <w:sz w:val="20"/>
          <w:szCs w:val="20"/>
        </w:rPr>
      </w:pPr>
    </w:p>
    <w:sectPr w:rsidR="003540BE" w:rsidRPr="00A86559" w:rsidSect="003540BE">
      <w:type w:val="continuous"/>
      <w:pgSz w:w="11906" w:h="16838"/>
      <w:pgMar w:top="1417" w:right="1701" w:bottom="1417" w:left="1701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DomBold BT">
    <w:panose1 w:val="03060902030202020203"/>
    <w:charset w:val="00"/>
    <w:family w:val="script"/>
    <w:pitch w:val="variable"/>
    <w:sig w:usb0="800000AF" w:usb1="1000204A" w:usb2="00000000" w:usb3="00000000" w:csb0="0000001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559"/>
    <w:rsid w:val="0005478D"/>
    <w:rsid w:val="0023027B"/>
    <w:rsid w:val="003540BE"/>
    <w:rsid w:val="003B27EF"/>
    <w:rsid w:val="00550ACE"/>
    <w:rsid w:val="00820FBE"/>
    <w:rsid w:val="00955988"/>
    <w:rsid w:val="00976019"/>
    <w:rsid w:val="00A86559"/>
    <w:rsid w:val="00AF768B"/>
    <w:rsid w:val="00CF4231"/>
    <w:rsid w:val="00F17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A953"/>
  <w15:chartTrackingRefBased/>
  <w15:docId w15:val="{0AC52067-E7D2-4386-9976-8967F9502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865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865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865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865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865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865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865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865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865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865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865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865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8655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86559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8655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8655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8655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8655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865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865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865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865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865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8655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8655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86559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865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86559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86559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A8655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8FA6F0-D28C-4964-8DB7-352FFC80E3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545</Words>
  <Characters>2944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Olimpio Silva de Oliveira</dc:creator>
  <cp:keywords/>
  <dc:description/>
  <cp:lastModifiedBy>Edson Olimpio Silva de Oliveira</cp:lastModifiedBy>
  <cp:revision>2</cp:revision>
  <cp:lastPrinted>2026-03-30T18:01:00Z</cp:lastPrinted>
  <dcterms:created xsi:type="dcterms:W3CDTF">2026-03-30T18:08:00Z</dcterms:created>
  <dcterms:modified xsi:type="dcterms:W3CDTF">2026-03-30T18:08:00Z</dcterms:modified>
</cp:coreProperties>
</file>